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E41B" w14:textId="77777777" w:rsidR="002C75AD" w:rsidRDefault="002C75AD" w:rsidP="002C75AD">
      <w:pPr>
        <w:spacing w:after="360" w:line="240" w:lineRule="auto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eastAsia="pt-BR"/>
          <w14:ligatures w14:val="none"/>
        </w:rPr>
      </w:pPr>
    </w:p>
    <w:p w14:paraId="450930BE" w14:textId="6B9BA7A5" w:rsidR="0080060B" w:rsidRPr="00A049AC" w:rsidRDefault="006C5B1C" w:rsidP="0048738B">
      <w:pPr>
        <w:spacing w:after="360" w:line="240" w:lineRule="auto"/>
        <w:jc w:val="center"/>
        <w:rPr>
          <w:b/>
          <w:bCs/>
          <w:sz w:val="28"/>
          <w:szCs w:val="28"/>
        </w:rPr>
      </w:pPr>
      <w:r w:rsidRPr="00A049AC">
        <w:rPr>
          <w:b/>
          <w:bCs/>
          <w:sz w:val="28"/>
          <w:szCs w:val="28"/>
        </w:rPr>
        <w:t xml:space="preserve">SOP </w:t>
      </w:r>
      <w:r w:rsidR="00B45F3D">
        <w:rPr>
          <w:b/>
          <w:bCs/>
          <w:sz w:val="28"/>
          <w:szCs w:val="28"/>
        </w:rPr>
        <w:t>AÇUCAR</w:t>
      </w:r>
    </w:p>
    <w:p w14:paraId="14983188" w14:textId="77777777" w:rsidR="006C5B1C" w:rsidRPr="00A049AC" w:rsidRDefault="006C5B1C" w:rsidP="006C5B1C">
      <w:pPr>
        <w:spacing w:after="360" w:line="240" w:lineRule="auto"/>
        <w:rPr>
          <w:b/>
          <w:bCs/>
          <w:color w:val="FF0000"/>
        </w:rPr>
      </w:pPr>
      <w:r w:rsidRPr="00A049AC">
        <w:rPr>
          <w:b/>
          <w:bCs/>
          <w:color w:val="FF0000"/>
        </w:rPr>
        <w:t xml:space="preserve">COTAÇÃO/COMPRA </w:t>
      </w:r>
    </w:p>
    <w:p w14:paraId="75972F9E" w14:textId="77777777" w:rsidR="006C5B1C" w:rsidRDefault="006C5B1C" w:rsidP="006C5B1C">
      <w:pPr>
        <w:spacing w:after="360" w:line="240" w:lineRule="auto"/>
      </w:pPr>
      <w:r>
        <w:t xml:space="preserve">1ª Confecção da LOI (Carta de Intenções), em nome da KESSKARA (nosso representante na Europa) ou do real comprador com target. </w:t>
      </w:r>
    </w:p>
    <w:p w14:paraId="67D150A0" w14:textId="77777777" w:rsidR="006C5B1C" w:rsidRDefault="006C5B1C" w:rsidP="006C5B1C">
      <w:pPr>
        <w:spacing w:after="360" w:line="240" w:lineRule="auto"/>
      </w:pPr>
      <w:r>
        <w:t xml:space="preserve">2ª Cotação dos valores por parte do fornecedor/parceiro. </w:t>
      </w:r>
    </w:p>
    <w:p w14:paraId="2F17B52E" w14:textId="77777777" w:rsidR="006C5B1C" w:rsidRDefault="006C5B1C" w:rsidP="006C5B1C">
      <w:pPr>
        <w:spacing w:after="360" w:line="240" w:lineRule="auto"/>
      </w:pPr>
      <w:r>
        <w:t xml:space="preserve">3º Aceite dos valores por parte do comprador. </w:t>
      </w:r>
    </w:p>
    <w:p w14:paraId="656F6E01" w14:textId="77777777" w:rsidR="006C5B1C" w:rsidRDefault="006C5B1C" w:rsidP="006C5B1C">
      <w:pPr>
        <w:spacing w:after="360" w:line="240" w:lineRule="auto"/>
      </w:pPr>
      <w:r>
        <w:t xml:space="preserve">4ª Atualização da LOI com os dados do real comprador. </w:t>
      </w:r>
    </w:p>
    <w:p w14:paraId="5A01FDB9" w14:textId="77777777" w:rsidR="006C5B1C" w:rsidRDefault="006C5B1C" w:rsidP="006C5B1C">
      <w:pPr>
        <w:spacing w:after="360" w:line="240" w:lineRule="auto"/>
      </w:pPr>
      <w:r>
        <w:t xml:space="preserve">5º Envio do GACC para o comprador afim de confirmação das informações. </w:t>
      </w:r>
    </w:p>
    <w:p w14:paraId="652A67B4" w14:textId="77777777" w:rsidR="006C5B1C" w:rsidRDefault="006C5B1C" w:rsidP="006C5B1C">
      <w:pPr>
        <w:spacing w:after="360" w:line="240" w:lineRule="auto"/>
      </w:pPr>
      <w:r>
        <w:t xml:space="preserve">6º O comprador emite a ICPO (Ordem de Compra Corporativa Irrevogável) </w:t>
      </w:r>
    </w:p>
    <w:p w14:paraId="60CE3E9C" w14:textId="77777777" w:rsidR="006C5B1C" w:rsidRDefault="006C5B1C" w:rsidP="006C5B1C">
      <w:pPr>
        <w:spacing w:after="360" w:line="240" w:lineRule="auto"/>
      </w:pPr>
      <w:r>
        <w:t xml:space="preserve">7º O vendedor emite FCO. </w:t>
      </w:r>
    </w:p>
    <w:p w14:paraId="6299B0BB" w14:textId="77777777" w:rsidR="006C5B1C" w:rsidRDefault="006C5B1C" w:rsidP="006C5B1C">
      <w:pPr>
        <w:spacing w:after="360" w:line="240" w:lineRule="auto"/>
      </w:pPr>
      <w:r>
        <w:t xml:space="preserve">8º O comprador devolve a SCO assinada e carimbada. </w:t>
      </w:r>
    </w:p>
    <w:p w14:paraId="319EA7DA" w14:textId="77777777" w:rsidR="00F90A37" w:rsidRDefault="006C5B1C" w:rsidP="006C5B1C">
      <w:pPr>
        <w:spacing w:after="360" w:line="240" w:lineRule="auto"/>
      </w:pPr>
      <w:r>
        <w:t xml:space="preserve">JUNTAMENTE COM A ICPO É INDISPENSAVEL:  </w:t>
      </w:r>
    </w:p>
    <w:p w14:paraId="60142A4D" w14:textId="24E2F81C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Apresentação da Prova de Fundos com valor mínimo equivalente a uma remessa; </w:t>
      </w:r>
    </w:p>
    <w:p w14:paraId="3BD5BF9F" w14:textId="274C63EE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Apresentação da Licença de Importação do Governo da China ou equivalente; </w:t>
      </w:r>
    </w:p>
    <w:p w14:paraId="321D6B0A" w14:textId="75394520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Cópia do Passaporte do comprador. </w:t>
      </w:r>
    </w:p>
    <w:p w14:paraId="76EE0843" w14:textId="77777777" w:rsidR="006C5B1C" w:rsidRDefault="006C5B1C" w:rsidP="006C5B1C">
      <w:pPr>
        <w:spacing w:after="360" w:line="240" w:lineRule="auto"/>
      </w:pPr>
      <w:r>
        <w:t xml:space="preserve">O VENDEDOR/EXPORTADOR DA GACC/AQSIC ENVIARA: </w:t>
      </w:r>
    </w:p>
    <w:p w14:paraId="73E8034F" w14:textId="0A6A0C50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Minuta do SPA (Contrato de Compra e Venda); </w:t>
      </w:r>
    </w:p>
    <w:p w14:paraId="28104EA2" w14:textId="1AC560A4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PI (Fatura Proforma); </w:t>
      </w:r>
    </w:p>
    <w:p w14:paraId="29C7617C" w14:textId="60EF81AD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O comprador devolve a minuta do SPA, carimbada, assinada e digitalizada ou em formato PDF via e-mail e será considerado Contrato de Compra e Venda, legal e oficial até a troca das cópias; </w:t>
      </w:r>
    </w:p>
    <w:p w14:paraId="7C7DF302" w14:textId="6281CA06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Fotos e vídeos dos produtos em todas as etapas do processo. LÓTUX PARTICIPAÇÕES E NEGÓCIOS INTERNACIONAIS Avenida Major Sylvio de Magalhães Padilha, 5200 - SL 402 Jardim Morumbi São Paulo/SP CEP: 05693-000 O COMPRADOR DEVOLVE: </w:t>
      </w:r>
    </w:p>
    <w:p w14:paraId="6F759058" w14:textId="4ADE5350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Fatura Proforma carimbada e assinada; </w:t>
      </w:r>
    </w:p>
    <w:p w14:paraId="10BD3EB4" w14:textId="37F39D89" w:rsidR="006C5B1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CIS – Ficha de Informações do Cliente. </w:t>
      </w:r>
    </w:p>
    <w:p w14:paraId="08EC2144" w14:textId="77777777" w:rsidR="00A049AC" w:rsidRDefault="00A049AC" w:rsidP="00A049AC">
      <w:pPr>
        <w:spacing w:after="360" w:line="240" w:lineRule="auto"/>
      </w:pPr>
    </w:p>
    <w:p w14:paraId="7B21CD4E" w14:textId="77777777" w:rsidR="006C5B1C" w:rsidRPr="00A049AC" w:rsidRDefault="006C5B1C" w:rsidP="006C5B1C">
      <w:pPr>
        <w:spacing w:after="360" w:line="240" w:lineRule="auto"/>
        <w:rPr>
          <w:b/>
          <w:bCs/>
          <w:color w:val="FF0000"/>
        </w:rPr>
      </w:pPr>
      <w:r w:rsidRPr="00A049AC">
        <w:rPr>
          <w:b/>
          <w:bCs/>
          <w:color w:val="FF0000"/>
        </w:rPr>
        <w:lastRenderedPageBreak/>
        <w:t xml:space="preserve">EMBARQUE </w:t>
      </w:r>
    </w:p>
    <w:p w14:paraId="333EB7BE" w14:textId="77777777" w:rsidR="006C5B1C" w:rsidRDefault="006C5B1C" w:rsidP="006C5B1C">
      <w:pPr>
        <w:spacing w:after="360" w:line="240" w:lineRule="auto"/>
      </w:pPr>
      <w:r>
        <w:t xml:space="preserve">9º A SIGMAX intermediara o contato com as companhias marítimas independente do INCOTERM utilizado na compra, havendo ou não a necessidade de liberação de booking para estufagem dos containers ou “prancha” para carregamento do navio BREAKBULK. O comprador e/ou seu representante receberão uma carta convite para acompanhar o carregamento junto ao porto. </w:t>
      </w:r>
    </w:p>
    <w:p w14:paraId="2E817FC7" w14:textId="77777777" w:rsidR="006C5B1C" w:rsidRDefault="006C5B1C" w:rsidP="006C5B1C">
      <w:pPr>
        <w:spacing w:after="360" w:line="240" w:lineRule="auto"/>
      </w:pPr>
      <w:r>
        <w:t xml:space="preserve">10º Em até 35 dias o navio estará carregado. </w:t>
      </w:r>
    </w:p>
    <w:p w14:paraId="2ADE2751" w14:textId="77777777" w:rsidR="006C5B1C" w:rsidRDefault="006C5B1C" w:rsidP="006C5B1C">
      <w:pPr>
        <w:spacing w:after="360" w:line="240" w:lineRule="auto"/>
      </w:pPr>
      <w:r>
        <w:t xml:space="preserve">11º Pagamento efetuado. </w:t>
      </w:r>
    </w:p>
    <w:p w14:paraId="25CE9B8F" w14:textId="051A311B" w:rsidR="00E2639C" w:rsidRDefault="006C5B1C" w:rsidP="006C5B1C">
      <w:pPr>
        <w:spacing w:after="360" w:line="240" w:lineRule="auto"/>
      </w:pPr>
      <w:proofErr w:type="gramStart"/>
      <w:r>
        <w:t>12</w:t>
      </w:r>
      <w:r w:rsidR="000111F7">
        <w:t>º</w:t>
      </w:r>
      <w:r>
        <w:t xml:space="preserve"> Liberação</w:t>
      </w:r>
      <w:proofErr w:type="gramEnd"/>
      <w:r>
        <w:t xml:space="preserve"> do navio com os seguintes documentos de embarque: </w:t>
      </w:r>
    </w:p>
    <w:p w14:paraId="6520EAFB" w14:textId="5502A670" w:rsidR="00E2639C" w:rsidRDefault="006C5B1C" w:rsidP="00F90A37">
      <w:pPr>
        <w:pStyle w:val="PargrafodaLista"/>
        <w:numPr>
          <w:ilvl w:val="0"/>
          <w:numId w:val="3"/>
        </w:numPr>
        <w:spacing w:after="360" w:line="240" w:lineRule="auto"/>
      </w:pPr>
      <w:r>
        <w:t xml:space="preserve">Fatura comercial; – Conhecimento de embarque; </w:t>
      </w:r>
    </w:p>
    <w:p w14:paraId="1DC29732" w14:textId="77777777" w:rsidR="00F90A37" w:rsidRPr="00F90A37" w:rsidRDefault="006C5B1C" w:rsidP="00F90A37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Certificado de inspeção pela SGS; </w:t>
      </w:r>
    </w:p>
    <w:p w14:paraId="40EA3323" w14:textId="77777777" w:rsidR="00F90A37" w:rsidRPr="00F90A37" w:rsidRDefault="006C5B1C" w:rsidP="00F90A37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Certificado de peso e qualidade emitido pela SGS; </w:t>
      </w:r>
    </w:p>
    <w:p w14:paraId="7911A15F" w14:textId="77777777" w:rsidR="00F90A37" w:rsidRPr="00F90A37" w:rsidRDefault="006C5B1C" w:rsidP="00F90A37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Certificado de Origem; </w:t>
      </w:r>
    </w:p>
    <w:p w14:paraId="5D64A0D4" w14:textId="77777777" w:rsidR="00F90A37" w:rsidRPr="00F90A37" w:rsidRDefault="006C5B1C" w:rsidP="00F90A37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Lista de embalagem triplicada; </w:t>
      </w:r>
    </w:p>
    <w:p w14:paraId="10F083AB" w14:textId="77777777" w:rsidR="00F90A37" w:rsidRPr="00F90A37" w:rsidRDefault="006C5B1C" w:rsidP="00F90A37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Certificado fitossanitário; </w:t>
      </w:r>
    </w:p>
    <w:p w14:paraId="3A46BDA4" w14:textId="77777777" w:rsidR="00F90A37" w:rsidRPr="00F90A37" w:rsidRDefault="006C5B1C" w:rsidP="00F90A37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Certificado de fumigação; </w:t>
      </w:r>
    </w:p>
    <w:p w14:paraId="5A3C729F" w14:textId="77777777" w:rsidR="00F90A37" w:rsidRPr="00F90A37" w:rsidRDefault="006C5B1C" w:rsidP="00F90A37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Certificado Livre de Radiação; </w:t>
      </w:r>
    </w:p>
    <w:p w14:paraId="1DB7D26B" w14:textId="77777777" w:rsidR="007970FE" w:rsidRPr="007970FE" w:rsidRDefault="006C5B1C" w:rsidP="007970FE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Certificado de Seguro. </w:t>
      </w:r>
    </w:p>
    <w:p w14:paraId="594AE7F7" w14:textId="6BCB17CC" w:rsidR="007970FE" w:rsidRPr="0005426E" w:rsidRDefault="006C5B1C" w:rsidP="007970FE">
      <w:pPr>
        <w:spacing w:after="360" w:line="240" w:lineRule="auto"/>
        <w:rPr>
          <w:b/>
          <w:bCs/>
          <w:color w:val="FF0000"/>
        </w:rPr>
      </w:pPr>
      <w:r w:rsidRPr="0005426E">
        <w:rPr>
          <w:b/>
          <w:bCs/>
          <w:color w:val="FF0000"/>
        </w:rPr>
        <w:t xml:space="preserve">OBSERVAÇÕES </w:t>
      </w:r>
    </w:p>
    <w:p w14:paraId="27E6527E" w14:textId="26CFAEF8" w:rsidR="007970FE" w:rsidRDefault="000111F7" w:rsidP="00A049AC">
      <w:pPr>
        <w:spacing w:after="360" w:line="240" w:lineRule="auto"/>
      </w:pPr>
      <w:r>
        <w:t xml:space="preserve">13º </w:t>
      </w:r>
      <w:r w:rsidR="006C5B1C">
        <w:t xml:space="preserve">Todos os documentos enviados deverão ser emitidos em papel timbrado, carimbado, assinado pelo CEO e em formato PDF. </w:t>
      </w:r>
    </w:p>
    <w:p w14:paraId="34435ABA" w14:textId="0308DB36" w:rsidR="007970FE" w:rsidRDefault="000111F7" w:rsidP="0005426E">
      <w:pPr>
        <w:spacing w:after="360" w:line="240" w:lineRule="auto"/>
      </w:pPr>
      <w:r>
        <w:t xml:space="preserve">14º </w:t>
      </w:r>
      <w:r w:rsidR="006C5B1C">
        <w:t xml:space="preserve">Documentos como </w:t>
      </w:r>
      <w:r w:rsidR="006C5B1C" w:rsidRPr="000111F7">
        <w:rPr>
          <w:b/>
          <w:bCs/>
          <w:i/>
          <w:iCs/>
        </w:rPr>
        <w:t xml:space="preserve">LOI/ICPO </w:t>
      </w:r>
      <w:r w:rsidR="006C5B1C">
        <w:t xml:space="preserve">somente serão analisadas e aceitos se estiverem de acordo com as exigências do vendedor, tais como: </w:t>
      </w:r>
    </w:p>
    <w:p w14:paraId="15BD63BD" w14:textId="77777777" w:rsidR="00B85254" w:rsidRPr="00B85254" w:rsidRDefault="006C5B1C" w:rsidP="00B85254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Forma de pagamento; </w:t>
      </w:r>
    </w:p>
    <w:p w14:paraId="09339718" w14:textId="77777777" w:rsidR="00B85254" w:rsidRPr="00B85254" w:rsidRDefault="006C5B1C" w:rsidP="00B85254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 xml:space="preserve">Forma de garantia; </w:t>
      </w:r>
    </w:p>
    <w:p w14:paraId="54BE98D3" w14:textId="09793003" w:rsidR="00506643" w:rsidRPr="007970FE" w:rsidRDefault="006C5B1C" w:rsidP="00B85254">
      <w:pPr>
        <w:pStyle w:val="PargrafodaLista"/>
        <w:numPr>
          <w:ilvl w:val="0"/>
          <w:numId w:val="3"/>
        </w:numPr>
        <w:spacing w:after="360" w:line="240" w:lineRule="auto"/>
        <w:rPr>
          <w:b/>
          <w:bCs/>
        </w:rPr>
      </w:pPr>
      <w:r>
        <w:t>Target Price (Conforme oferta disponível).</w:t>
      </w:r>
    </w:p>
    <w:sectPr w:rsidR="00506643" w:rsidRPr="007970FE" w:rsidSect="00BD2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96DE" w14:textId="77777777" w:rsidR="00B27DAD" w:rsidRDefault="00B27DAD" w:rsidP="00B63A9C">
      <w:pPr>
        <w:spacing w:after="0" w:line="240" w:lineRule="auto"/>
      </w:pPr>
      <w:r>
        <w:separator/>
      </w:r>
    </w:p>
  </w:endnote>
  <w:endnote w:type="continuationSeparator" w:id="0">
    <w:p w14:paraId="48A4A90C" w14:textId="77777777" w:rsidR="00B27DAD" w:rsidRDefault="00B27DAD" w:rsidP="00B6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8F093" w14:textId="77777777" w:rsidR="00C86CBE" w:rsidRDefault="00C86C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CF23" w14:textId="77777777" w:rsidR="00C86CBE" w:rsidRPr="00C55BF9" w:rsidRDefault="00C86CBE" w:rsidP="00C86CBE">
    <w:pPr>
      <w:spacing w:after="0" w:line="240" w:lineRule="auto"/>
      <w:rPr>
        <w:rFonts w:ascii="Calibri" w:hAnsi="Calibri" w:cs="Calibri"/>
        <w:sz w:val="16"/>
        <w:szCs w:val="16"/>
      </w:rPr>
    </w:pPr>
    <w:r w:rsidRPr="00A74C37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5DAEDB8" wp14:editId="5ADE7785">
              <wp:simplePos x="0" y="0"/>
              <wp:positionH relativeFrom="column">
                <wp:posOffset>3028315</wp:posOffset>
              </wp:positionH>
              <wp:positionV relativeFrom="paragraph">
                <wp:posOffset>-85090</wp:posOffset>
              </wp:positionV>
              <wp:extent cx="2787650" cy="855345"/>
              <wp:effectExtent l="0" t="0" r="12700" b="2095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0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93B68" w14:textId="77777777" w:rsidR="00C86CBE" w:rsidRPr="00C55BF9" w:rsidRDefault="00C86CBE" w:rsidP="00C86CBE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SIGMAX SOLUÇÕES EM COM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É</w:t>
                          </w: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RCIO EXTERIOR LTDA</w:t>
                          </w:r>
                        </w:p>
                        <w:p w14:paraId="4868FD91" w14:textId="77777777" w:rsidR="00C86CBE" w:rsidRPr="00C55BF9" w:rsidRDefault="00C86CBE" w:rsidP="00C86CBE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CNPJ: 42.888.579/0001-10</w:t>
                          </w:r>
                        </w:p>
                        <w:p w14:paraId="7ED47605" w14:textId="77777777" w:rsidR="00C86CBE" w:rsidRPr="00C55BF9" w:rsidRDefault="00C86CBE" w:rsidP="00C86CBE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Rua Vergueiro, 1421</w:t>
                          </w:r>
                        </w:p>
                        <w:p w14:paraId="37C08F8F" w14:textId="77777777" w:rsidR="00C86CBE" w:rsidRPr="00C55BF9" w:rsidRDefault="00C86CBE" w:rsidP="00C86CBE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Vila Mariana São Paulo/SP</w:t>
                          </w:r>
                        </w:p>
                        <w:p w14:paraId="71503098" w14:textId="77777777" w:rsidR="00C86CBE" w:rsidRDefault="00C86CBE" w:rsidP="00C86CBE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C55BF9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CEP: 04101-100</w:t>
                          </w:r>
                        </w:p>
                        <w:p w14:paraId="2C653AA5" w14:textId="77777777" w:rsidR="00C86CBE" w:rsidRDefault="00C86CBE" w:rsidP="00C86CBE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5A5A15">
                              <w:rPr>
                                <w:rStyle w:val="Hyperlink"/>
                                <w:rFonts w:ascii="Calibri" w:hAnsi="Calibri" w:cs="Calibri"/>
                                <w:sz w:val="16"/>
                                <w:szCs w:val="16"/>
                              </w:rPr>
                              <w:t>www.sigmaxcomex.com</w:t>
                            </w:r>
                          </w:hyperlink>
                        </w:p>
                        <w:p w14:paraId="4287967F" w14:textId="77777777" w:rsidR="00C86CBE" w:rsidRPr="00C55BF9" w:rsidRDefault="00C86CBE" w:rsidP="00C86CBE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14:paraId="66A555B5" w14:textId="77777777" w:rsidR="00C86CBE" w:rsidRDefault="00C86CBE" w:rsidP="00C86C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AED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8.45pt;margin-top:-6.7pt;width:219.5pt;height:67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zeFgIAAB4EAAAOAAAAZHJzL2Uyb0RvYy54bWysU9tu2zAMfR+wfxD0vtjJ4iY14hRdugwD&#10;ugvQ7QNkWbaFyaImKbGzry8lu2navQ3TgyCK0iF5eLi5GTpFjsI6Cbqg81lKidAcKqmbgv78sX+3&#10;p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" strokecolor="white [3212]">
              <v:textbox>
                <w:txbxContent>
                  <w:p w14:paraId="64F93B68" w14:textId="77777777" w:rsidR="00C86CBE" w:rsidRPr="00C55BF9" w:rsidRDefault="00C86CBE" w:rsidP="00C86CBE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SIGMAX SOLUÇÕES EM COM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É</w:t>
                    </w: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RCIO EXTERIOR LTDA</w:t>
                    </w:r>
                  </w:p>
                  <w:p w14:paraId="4868FD91" w14:textId="77777777" w:rsidR="00C86CBE" w:rsidRPr="00C55BF9" w:rsidRDefault="00C86CBE" w:rsidP="00C86CBE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CNPJ: 42.888.579/0001-10</w:t>
                    </w:r>
                  </w:p>
                  <w:p w14:paraId="7ED47605" w14:textId="77777777" w:rsidR="00C86CBE" w:rsidRPr="00C55BF9" w:rsidRDefault="00C86CBE" w:rsidP="00C86CBE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Rua Vergueiro, 1421</w:t>
                    </w:r>
                  </w:p>
                  <w:p w14:paraId="37C08F8F" w14:textId="77777777" w:rsidR="00C86CBE" w:rsidRPr="00C55BF9" w:rsidRDefault="00C86CBE" w:rsidP="00C86CBE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Vila Mariana São Paulo/SP</w:t>
                    </w:r>
                  </w:p>
                  <w:p w14:paraId="71503098" w14:textId="77777777" w:rsidR="00C86CBE" w:rsidRDefault="00C86CBE" w:rsidP="00C86CBE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C55BF9">
                      <w:rPr>
                        <w:rFonts w:ascii="Calibri" w:hAnsi="Calibri" w:cs="Calibri"/>
                        <w:sz w:val="16"/>
                        <w:szCs w:val="16"/>
                      </w:rPr>
                      <w:t>CEP: 04101-100</w:t>
                    </w:r>
                  </w:p>
                  <w:p w14:paraId="2C653AA5" w14:textId="77777777" w:rsidR="00C86CBE" w:rsidRDefault="00C86CBE" w:rsidP="00C86CBE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hyperlink r:id="rId2" w:history="1">
                      <w:r w:rsidRPr="005A5A15">
                        <w:rPr>
                          <w:rStyle w:val="Hyperlink"/>
                          <w:rFonts w:ascii="Calibri" w:hAnsi="Calibri" w:cs="Calibri"/>
                          <w:sz w:val="16"/>
                          <w:szCs w:val="16"/>
                        </w:rPr>
                        <w:t>www.sigmaxcomex.com</w:t>
                      </w:r>
                    </w:hyperlink>
                  </w:p>
                  <w:p w14:paraId="4287967F" w14:textId="77777777" w:rsidR="00C86CBE" w:rsidRPr="00C55BF9" w:rsidRDefault="00C86CBE" w:rsidP="00C86CBE">
                    <w:pPr>
                      <w:spacing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  <w:p w14:paraId="66A555B5" w14:textId="77777777" w:rsidR="00C86CBE" w:rsidRDefault="00C86CBE" w:rsidP="00C86CBE"/>
                </w:txbxContent>
              </v:textbox>
            </v:shape>
          </w:pict>
        </mc:Fallback>
      </mc:AlternateContent>
    </w:r>
    <w:r w:rsidRPr="00C55BF9">
      <w:rPr>
        <w:rFonts w:ascii="Calibri" w:hAnsi="Calibri" w:cs="Calibri"/>
        <w:sz w:val="16"/>
        <w:szCs w:val="16"/>
      </w:rPr>
      <w:t xml:space="preserve">LÓTUX PARTICIPAÇÕES E NEGÓCIOS INTERNACIONAIS LTDA </w:t>
    </w:r>
  </w:p>
  <w:p w14:paraId="199A7FB5" w14:textId="77777777" w:rsidR="00C86CBE" w:rsidRPr="00C55BF9" w:rsidRDefault="00C86CBE" w:rsidP="00C86CBE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CNPJ: 48.293.240/0001-58</w:t>
    </w:r>
  </w:p>
  <w:p w14:paraId="5721FE52" w14:textId="77777777" w:rsidR="00C86CBE" w:rsidRPr="00C55BF9" w:rsidRDefault="00C86CBE" w:rsidP="00C86CBE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Avenida Major Sylvio de Magalhães Padilha, 5200</w:t>
    </w:r>
  </w:p>
  <w:p w14:paraId="4E267923" w14:textId="77777777" w:rsidR="00C86CBE" w:rsidRPr="00C55BF9" w:rsidRDefault="00C86CBE" w:rsidP="00C86CBE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Jardim Morumbi São Paulo/SP</w:t>
    </w:r>
  </w:p>
  <w:p w14:paraId="35021C64" w14:textId="77777777" w:rsidR="00C86CBE" w:rsidRDefault="00C86CBE" w:rsidP="00C86CBE">
    <w:pPr>
      <w:pStyle w:val="Rodap"/>
      <w:rPr>
        <w:rFonts w:ascii="Calibri" w:hAnsi="Calibri" w:cs="Calibri"/>
        <w:sz w:val="16"/>
        <w:szCs w:val="16"/>
      </w:rPr>
    </w:pPr>
    <w:r w:rsidRPr="00C55BF9">
      <w:rPr>
        <w:rFonts w:ascii="Calibri" w:hAnsi="Calibri" w:cs="Calibri"/>
        <w:sz w:val="16"/>
        <w:szCs w:val="16"/>
      </w:rPr>
      <w:t>CEP: 05693-000</w:t>
    </w:r>
  </w:p>
  <w:p w14:paraId="2D07F8A7" w14:textId="77777777" w:rsidR="00C86CBE" w:rsidRDefault="00C86CBE" w:rsidP="00C86CBE">
    <w:pPr>
      <w:pStyle w:val="Rodap"/>
      <w:rPr>
        <w:rFonts w:ascii="Calibri" w:hAnsi="Calibri" w:cs="Calibri"/>
        <w:sz w:val="16"/>
        <w:szCs w:val="16"/>
      </w:rPr>
    </w:pPr>
    <w:hyperlink r:id="rId3" w:history="1">
      <w:r w:rsidRPr="005A5A15">
        <w:rPr>
          <w:rStyle w:val="Hyperlink"/>
          <w:rFonts w:ascii="Calibri" w:hAnsi="Calibri" w:cs="Calibri"/>
          <w:sz w:val="16"/>
          <w:szCs w:val="16"/>
        </w:rPr>
        <w:t>www.lotuxtrading.com</w:t>
      </w:r>
    </w:hyperlink>
  </w:p>
  <w:p w14:paraId="35A70EC3" w14:textId="07EDBC9F" w:rsidR="00E56EFD" w:rsidRPr="00C86CBE" w:rsidRDefault="00E56EFD" w:rsidP="00C86C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505B" w14:textId="77777777" w:rsidR="00C86CBE" w:rsidRDefault="00C86C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4EBBB" w14:textId="77777777" w:rsidR="00B27DAD" w:rsidRDefault="00B27DAD" w:rsidP="00B63A9C">
      <w:pPr>
        <w:spacing w:after="0" w:line="240" w:lineRule="auto"/>
      </w:pPr>
      <w:r>
        <w:separator/>
      </w:r>
    </w:p>
  </w:footnote>
  <w:footnote w:type="continuationSeparator" w:id="0">
    <w:p w14:paraId="678A0CE9" w14:textId="77777777" w:rsidR="00B27DAD" w:rsidRDefault="00B27DAD" w:rsidP="00B6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9CFD" w14:textId="77777777" w:rsidR="00C86CBE" w:rsidRDefault="00C86C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6132" w14:textId="523ED6B7" w:rsidR="00B63A9C" w:rsidRPr="00BB413E" w:rsidRDefault="003A28D1" w:rsidP="00BB413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526E6" wp14:editId="6CD34C47">
          <wp:simplePos x="0" y="0"/>
          <wp:positionH relativeFrom="rightMargin">
            <wp:posOffset>-444094</wp:posOffset>
          </wp:positionH>
          <wp:positionV relativeFrom="paragraph">
            <wp:posOffset>-284480</wp:posOffset>
          </wp:positionV>
          <wp:extent cx="920750" cy="729937"/>
          <wp:effectExtent l="0" t="0" r="0" b="0"/>
          <wp:wrapNone/>
          <wp:docPr id="1789479235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79235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3" t="27004" r="19590" b="24790"/>
                  <a:stretch/>
                </pic:blipFill>
                <pic:spPr bwMode="auto">
                  <a:xfrm>
                    <a:off x="0" y="0"/>
                    <a:ext cx="920750" cy="729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5AD" w:rsidRPr="00BB413E">
      <w:rPr>
        <w:noProof/>
      </w:rPr>
      <w:drawing>
        <wp:anchor distT="0" distB="0" distL="114300" distR="114300" simplePos="0" relativeHeight="251658240" behindDoc="1" locked="0" layoutInCell="1" allowOverlap="1" wp14:anchorId="114BE6E2" wp14:editId="743B663D">
          <wp:simplePos x="0" y="0"/>
          <wp:positionH relativeFrom="column">
            <wp:posOffset>-540385</wp:posOffset>
          </wp:positionH>
          <wp:positionV relativeFrom="paragraph">
            <wp:posOffset>-449580</wp:posOffset>
          </wp:positionV>
          <wp:extent cx="1835150" cy="875494"/>
          <wp:effectExtent l="0" t="0" r="0" b="1270"/>
          <wp:wrapNone/>
          <wp:docPr id="1082102078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02078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875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FE89" w14:textId="77777777" w:rsidR="00C86CBE" w:rsidRDefault="00C86C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B3224"/>
    <w:multiLevelType w:val="hybridMultilevel"/>
    <w:tmpl w:val="A9709A56"/>
    <w:lvl w:ilvl="0" w:tplc="D31C85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4C07"/>
    <w:multiLevelType w:val="hybridMultilevel"/>
    <w:tmpl w:val="81B6BB4E"/>
    <w:lvl w:ilvl="0" w:tplc="17C2D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1366"/>
    <w:multiLevelType w:val="hybridMultilevel"/>
    <w:tmpl w:val="F68AC23E"/>
    <w:lvl w:ilvl="0" w:tplc="A32AF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A34B6"/>
    <w:multiLevelType w:val="hybridMultilevel"/>
    <w:tmpl w:val="251604B4"/>
    <w:lvl w:ilvl="0" w:tplc="7842E4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6321">
    <w:abstractNumId w:val="3"/>
  </w:num>
  <w:num w:numId="2" w16cid:durableId="1367020326">
    <w:abstractNumId w:val="2"/>
  </w:num>
  <w:num w:numId="3" w16cid:durableId="93677467">
    <w:abstractNumId w:val="0"/>
  </w:num>
  <w:num w:numId="4" w16cid:durableId="455606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8"/>
    <w:rsid w:val="000111F7"/>
    <w:rsid w:val="00012D51"/>
    <w:rsid w:val="00026837"/>
    <w:rsid w:val="000336AA"/>
    <w:rsid w:val="00035322"/>
    <w:rsid w:val="00036F0F"/>
    <w:rsid w:val="0005426E"/>
    <w:rsid w:val="00082289"/>
    <w:rsid w:val="000B2BBF"/>
    <w:rsid w:val="000C70C9"/>
    <w:rsid w:val="000E54D8"/>
    <w:rsid w:val="00184562"/>
    <w:rsid w:val="001945D4"/>
    <w:rsid w:val="001A20A1"/>
    <w:rsid w:val="001A32BE"/>
    <w:rsid w:val="001C1353"/>
    <w:rsid w:val="001C4821"/>
    <w:rsid w:val="002351E8"/>
    <w:rsid w:val="002965C4"/>
    <w:rsid w:val="002A1737"/>
    <w:rsid w:val="002B52BB"/>
    <w:rsid w:val="002C75AD"/>
    <w:rsid w:val="003019C9"/>
    <w:rsid w:val="00305AE4"/>
    <w:rsid w:val="00305B41"/>
    <w:rsid w:val="00312D78"/>
    <w:rsid w:val="00323761"/>
    <w:rsid w:val="00355D62"/>
    <w:rsid w:val="003626CB"/>
    <w:rsid w:val="003750E8"/>
    <w:rsid w:val="00394C20"/>
    <w:rsid w:val="003A28D1"/>
    <w:rsid w:val="003E5B9D"/>
    <w:rsid w:val="003F0DBA"/>
    <w:rsid w:val="00416FB2"/>
    <w:rsid w:val="0042209F"/>
    <w:rsid w:val="004742EB"/>
    <w:rsid w:val="0048738B"/>
    <w:rsid w:val="00491A9B"/>
    <w:rsid w:val="00494C3D"/>
    <w:rsid w:val="004A4AD1"/>
    <w:rsid w:val="004E6AA9"/>
    <w:rsid w:val="00506643"/>
    <w:rsid w:val="005714C2"/>
    <w:rsid w:val="005852E7"/>
    <w:rsid w:val="0059145B"/>
    <w:rsid w:val="005949BE"/>
    <w:rsid w:val="005C0E02"/>
    <w:rsid w:val="005C6A44"/>
    <w:rsid w:val="005D04B1"/>
    <w:rsid w:val="005D2B10"/>
    <w:rsid w:val="00626651"/>
    <w:rsid w:val="00633492"/>
    <w:rsid w:val="0067077E"/>
    <w:rsid w:val="006769CD"/>
    <w:rsid w:val="00677E8E"/>
    <w:rsid w:val="0069390B"/>
    <w:rsid w:val="006A1D14"/>
    <w:rsid w:val="006B15E5"/>
    <w:rsid w:val="006B2CE7"/>
    <w:rsid w:val="006C5B1C"/>
    <w:rsid w:val="006E7EDD"/>
    <w:rsid w:val="007124E8"/>
    <w:rsid w:val="0074034F"/>
    <w:rsid w:val="007566E2"/>
    <w:rsid w:val="00796A53"/>
    <w:rsid w:val="007970FE"/>
    <w:rsid w:val="007C16E3"/>
    <w:rsid w:val="007F0E96"/>
    <w:rsid w:val="0080060B"/>
    <w:rsid w:val="00803927"/>
    <w:rsid w:val="00835A7F"/>
    <w:rsid w:val="00877474"/>
    <w:rsid w:val="008A2468"/>
    <w:rsid w:val="008C0EAE"/>
    <w:rsid w:val="00933057"/>
    <w:rsid w:val="00947BA2"/>
    <w:rsid w:val="00961CFE"/>
    <w:rsid w:val="009709E4"/>
    <w:rsid w:val="0099328F"/>
    <w:rsid w:val="009D699A"/>
    <w:rsid w:val="00A049AC"/>
    <w:rsid w:val="00A053DC"/>
    <w:rsid w:val="00A4426B"/>
    <w:rsid w:val="00A6738F"/>
    <w:rsid w:val="00A76DCD"/>
    <w:rsid w:val="00A871E3"/>
    <w:rsid w:val="00A9496A"/>
    <w:rsid w:val="00AB772A"/>
    <w:rsid w:val="00AE63C9"/>
    <w:rsid w:val="00AF1BBE"/>
    <w:rsid w:val="00B248BA"/>
    <w:rsid w:val="00B27DAD"/>
    <w:rsid w:val="00B27F8E"/>
    <w:rsid w:val="00B3760B"/>
    <w:rsid w:val="00B45F3D"/>
    <w:rsid w:val="00B63A9C"/>
    <w:rsid w:val="00B85254"/>
    <w:rsid w:val="00BB0EC5"/>
    <w:rsid w:val="00BB413E"/>
    <w:rsid w:val="00BB55D2"/>
    <w:rsid w:val="00BC69C7"/>
    <w:rsid w:val="00BD2F2A"/>
    <w:rsid w:val="00BF7181"/>
    <w:rsid w:val="00C25118"/>
    <w:rsid w:val="00C36B15"/>
    <w:rsid w:val="00C86CBE"/>
    <w:rsid w:val="00CA0C95"/>
    <w:rsid w:val="00CE03D6"/>
    <w:rsid w:val="00CE1DD5"/>
    <w:rsid w:val="00CE3F1C"/>
    <w:rsid w:val="00CE6B55"/>
    <w:rsid w:val="00D029DD"/>
    <w:rsid w:val="00D05725"/>
    <w:rsid w:val="00D213A8"/>
    <w:rsid w:val="00D31C93"/>
    <w:rsid w:val="00D45631"/>
    <w:rsid w:val="00D63AA5"/>
    <w:rsid w:val="00D94C5F"/>
    <w:rsid w:val="00DB0838"/>
    <w:rsid w:val="00DB4381"/>
    <w:rsid w:val="00E05B35"/>
    <w:rsid w:val="00E20FC5"/>
    <w:rsid w:val="00E2639C"/>
    <w:rsid w:val="00E56EFD"/>
    <w:rsid w:val="00E72655"/>
    <w:rsid w:val="00E94CE9"/>
    <w:rsid w:val="00EC2295"/>
    <w:rsid w:val="00ED3B67"/>
    <w:rsid w:val="00F314F7"/>
    <w:rsid w:val="00F6293E"/>
    <w:rsid w:val="00F90A37"/>
    <w:rsid w:val="00F92869"/>
    <w:rsid w:val="00FB2083"/>
    <w:rsid w:val="00FF002F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0466"/>
  <w15:chartTrackingRefBased/>
  <w15:docId w15:val="{9CBB3AD0-9D64-47F4-A96D-78251BA0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1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1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1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21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1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1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1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1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1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1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1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13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D213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13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13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13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13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1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1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1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13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13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13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1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13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13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213A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6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3A9C"/>
  </w:style>
  <w:style w:type="paragraph" w:styleId="Rodap">
    <w:name w:val="footer"/>
    <w:basedOn w:val="Normal"/>
    <w:link w:val="RodapChar"/>
    <w:uiPriority w:val="99"/>
    <w:unhideWhenUsed/>
    <w:rsid w:val="00B6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3A9C"/>
  </w:style>
  <w:style w:type="character" w:styleId="Hyperlink">
    <w:name w:val="Hyperlink"/>
    <w:basedOn w:val="Fontepargpadro"/>
    <w:uiPriority w:val="99"/>
    <w:unhideWhenUsed/>
    <w:rsid w:val="00C86CB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tuxtrading.com" TargetMode="External"/><Relationship Id="rId2" Type="http://schemas.openxmlformats.org/officeDocument/2006/relationships/hyperlink" Target="http://www.sigmaxcomex.com" TargetMode="External"/><Relationship Id="rId1" Type="http://schemas.openxmlformats.org/officeDocument/2006/relationships/hyperlink" Target="http://www.sigmaxcomex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Gonçalves</dc:creator>
  <cp:keywords/>
  <dc:description/>
  <cp:lastModifiedBy>Wallace Gonçalves</cp:lastModifiedBy>
  <cp:revision>14</cp:revision>
  <dcterms:created xsi:type="dcterms:W3CDTF">2024-07-08T01:47:00Z</dcterms:created>
  <dcterms:modified xsi:type="dcterms:W3CDTF">2024-07-24T02:21:00Z</dcterms:modified>
</cp:coreProperties>
</file>